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仿宋" w:cs="Helvetica"/>
          <w:b/>
          <w:kern w:val="0"/>
          <w:sz w:val="24"/>
        </w:rPr>
      </w:pPr>
      <w:r>
        <w:rPr>
          <w:rFonts w:hint="eastAsia" w:ascii="Times New Roman" w:hAnsi="Times New Roman" w:eastAsia="仿宋" w:cs="Helvetica"/>
          <w:b/>
          <w:kern w:val="0"/>
          <w:sz w:val="24"/>
        </w:rPr>
        <w:t xml:space="preserve">附件2 </w:t>
      </w:r>
    </w:p>
    <w:p>
      <w:pPr>
        <w:spacing w:line="360" w:lineRule="auto"/>
        <w:jc w:val="center"/>
        <w:rPr>
          <w:rFonts w:ascii="Times New Roman" w:hAnsi="Times New Roman" w:eastAsiaTheme="majorEastAsia"/>
          <w:b/>
          <w:sz w:val="30"/>
          <w:szCs w:val="30"/>
        </w:rPr>
      </w:pPr>
      <w:r>
        <w:rPr>
          <w:rFonts w:ascii="Times New Roman" w:eastAsiaTheme="majorEastAsia"/>
          <w:b/>
          <w:sz w:val="30"/>
          <w:szCs w:val="30"/>
        </w:rPr>
        <w:t>中国国际法学会</w:t>
      </w:r>
      <w:r>
        <w:rPr>
          <w:rFonts w:ascii="Times New Roman" w:hAnsi="Times New Roman" w:eastAsiaTheme="majorEastAsia"/>
          <w:b/>
          <w:sz w:val="30"/>
          <w:szCs w:val="30"/>
        </w:rPr>
        <w:t>2018</w:t>
      </w:r>
      <w:r>
        <w:rPr>
          <w:rFonts w:ascii="Times New Roman" w:eastAsiaTheme="majorEastAsia"/>
          <w:b/>
          <w:sz w:val="30"/>
          <w:szCs w:val="30"/>
        </w:rPr>
        <w:t>年学术年会</w:t>
      </w:r>
    </w:p>
    <w:p>
      <w:pPr>
        <w:spacing w:line="360" w:lineRule="auto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Theme="majorEastAsia"/>
          <w:b/>
          <w:sz w:val="30"/>
          <w:szCs w:val="30"/>
        </w:rPr>
        <w:t>主题暨分议题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黑体" w:eastAsia="黑体" w:cs="黑体"/>
          <w:sz w:val="28"/>
          <w:szCs w:val="28"/>
        </w:rPr>
        <w:t>主题</w:t>
      </w:r>
      <w:r>
        <w:rPr>
          <w:rFonts w:hint="eastAsia" w:ascii="Times New Roman" w:hAnsi="Times New Roman" w:eastAsia="黑体" w:cs="黑体"/>
          <w:sz w:val="28"/>
          <w:szCs w:val="28"/>
        </w:rPr>
        <w:t xml:space="preserve">: </w:t>
      </w:r>
    </w:p>
    <w:p>
      <w:pPr>
        <w:jc w:val="center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新时代新使命：推动构建人类命运共同体</w:t>
      </w: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黑体" w:eastAsia="黑体" w:cs="黑体"/>
          <w:sz w:val="28"/>
          <w:szCs w:val="28"/>
        </w:rPr>
        <w:t>分议题：</w:t>
      </w:r>
    </w:p>
    <w:p>
      <w:pPr>
        <w:jc w:val="center"/>
        <w:rPr>
          <w:rFonts w:ascii="Times New Roman" w:hAnsi="Times New Roman" w:eastAsia="黑体"/>
          <w:b/>
          <w:sz w:val="28"/>
          <w:szCs w:val="28"/>
        </w:rPr>
      </w:pPr>
      <w:r>
        <w:rPr>
          <w:rFonts w:hint="eastAsia" w:ascii="Times New Roman" w:hAnsi="黑体" w:eastAsia="黑体"/>
          <w:b/>
          <w:sz w:val="28"/>
          <w:szCs w:val="28"/>
        </w:rPr>
        <w:t>第一部分国际公法议题</w:t>
      </w:r>
    </w:p>
    <w:p>
      <w:pPr>
        <w:spacing w:line="360" w:lineRule="auto"/>
        <w:rPr>
          <w:rFonts w:ascii="Times New Roman" w:hAnsi="Times New Roman" w:eastAsia="黑体" w:cs="黑体"/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新时代国际法理论创新</w:t>
      </w:r>
    </w:p>
    <w:p>
      <w:pPr>
        <w:ind w:left="210" w:leftChars="100" w:firstLine="280" w:firstLineChars="1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习近平新时代中国特色社会主义思想中的国际法治观</w:t>
      </w:r>
    </w:p>
    <w:p>
      <w:pPr>
        <w:ind w:left="210" w:leftChars="100" w:firstLine="280" w:firstLineChars="1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构建人类命运共同体与国际法理论创新</w:t>
      </w:r>
    </w:p>
    <w:p>
      <w:pPr>
        <w:ind w:left="210" w:leftChars="100" w:firstLine="280" w:firstLineChars="1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国际法在构建新型国际关系、构建人类命运共同体中的作用</w:t>
      </w:r>
    </w:p>
    <w:p>
      <w:pPr>
        <w:ind w:left="210" w:leftChars="100" w:firstLine="280" w:firstLineChars="1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构建人类命运共同体</w:t>
      </w:r>
      <w:r>
        <w:rPr>
          <w:rFonts w:hint="eastAsia" w:ascii="仿宋_GB2312" w:hAnsi="Times New Roman" w:eastAsia="仿宋_GB2312"/>
          <w:sz w:val="28"/>
          <w:szCs w:val="28"/>
        </w:rPr>
        <w:t>——</w:t>
      </w:r>
      <w:r>
        <w:rPr>
          <w:rFonts w:hint="eastAsia" w:ascii="仿宋_GB2312" w:hAnsi="仿宋" w:eastAsia="仿宋_GB2312"/>
          <w:sz w:val="28"/>
          <w:szCs w:val="28"/>
        </w:rPr>
        <w:t>和平共处五项原则的新发展</w:t>
      </w:r>
    </w:p>
    <w:p>
      <w:pPr>
        <w:ind w:left="210" w:leftChars="100" w:firstLine="280" w:firstLineChars="1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国际条约与国内法关系问题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国际法与促进全球治理体系变革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联合国改革法律问题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联合国制裁及其国内执行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禁止核武器条约与核不扩散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对非国家行为体行使自卫权问题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外交领事法面临的新挑战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sz w:val="28"/>
          <w:szCs w:val="28"/>
        </w:rPr>
        <w:t>外空资源开发和利用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7.</w:t>
      </w:r>
      <w:r>
        <w:rPr>
          <w:rFonts w:hint="eastAsia" w:ascii="仿宋_GB2312" w:hAnsi="仿宋" w:eastAsia="仿宋_GB2312"/>
          <w:sz w:val="28"/>
          <w:szCs w:val="28"/>
        </w:rPr>
        <w:t>外空军事利用法律问题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8.</w:t>
      </w:r>
      <w:r>
        <w:rPr>
          <w:rFonts w:hint="eastAsia" w:ascii="仿宋_GB2312" w:hAnsi="仿宋" w:eastAsia="仿宋_GB2312"/>
          <w:sz w:val="28"/>
          <w:szCs w:val="28"/>
        </w:rPr>
        <w:t>国际司法执法合作的新发展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9.</w:t>
      </w:r>
      <w:r>
        <w:rPr>
          <w:rFonts w:hint="eastAsia" w:ascii="仿宋_GB2312" w:hAnsi="仿宋" w:eastAsia="仿宋_GB2312"/>
          <w:sz w:val="28"/>
          <w:szCs w:val="28"/>
        </w:rPr>
        <w:t>网络空间治理中的国际法问题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10.</w:t>
      </w:r>
      <w:r>
        <w:rPr>
          <w:rFonts w:hint="eastAsia" w:ascii="仿宋_GB2312" w:hAnsi="仿宋" w:eastAsia="仿宋_GB2312"/>
          <w:sz w:val="28"/>
          <w:szCs w:val="28"/>
        </w:rPr>
        <w:t>《巴黎协定》后续谈判与全球气候治理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11.</w:t>
      </w:r>
      <w:r>
        <w:rPr>
          <w:rFonts w:hint="eastAsia" w:ascii="仿宋_GB2312" w:hAnsi="仿宋" w:eastAsia="仿宋_GB2312"/>
          <w:sz w:val="28"/>
          <w:szCs w:val="28"/>
        </w:rPr>
        <w:t>《世界环境公约》倡议及有关问题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12.</w:t>
      </w:r>
      <w:r>
        <w:rPr>
          <w:rFonts w:hint="eastAsia" w:ascii="仿宋_GB2312" w:hAnsi="仿宋" w:eastAsia="仿宋_GB2312"/>
          <w:sz w:val="28"/>
          <w:szCs w:val="28"/>
        </w:rPr>
        <w:t>非国家行为体参与全球治理法律问题</w:t>
      </w:r>
    </w:p>
    <w:p>
      <w:pPr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Times New Roman" w:eastAsia="仿宋_GB2312"/>
          <w:b/>
          <w:sz w:val="28"/>
          <w:szCs w:val="28"/>
        </w:rPr>
        <w:t>“</w:t>
      </w:r>
      <w:r>
        <w:rPr>
          <w:rFonts w:hint="eastAsia" w:ascii="仿宋_GB2312" w:hAnsi="仿宋" w:eastAsia="仿宋_GB2312"/>
          <w:b/>
          <w:sz w:val="28"/>
          <w:szCs w:val="28"/>
        </w:rPr>
        <w:t>一带一路</w:t>
      </w:r>
      <w:r>
        <w:rPr>
          <w:rFonts w:hint="eastAsia" w:ascii="仿宋_GB2312" w:hAnsi="Times New Roman" w:eastAsia="仿宋_GB2312"/>
          <w:b/>
          <w:sz w:val="28"/>
          <w:szCs w:val="28"/>
        </w:rPr>
        <w:t>”</w:t>
      </w:r>
      <w:r>
        <w:rPr>
          <w:rFonts w:hint="eastAsia" w:ascii="仿宋_GB2312" w:hAnsi="仿宋" w:eastAsia="仿宋_GB2312"/>
          <w:b/>
          <w:sz w:val="28"/>
          <w:szCs w:val="28"/>
        </w:rPr>
        <w:t>倡议与国际法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1.“</w:t>
      </w:r>
      <w:r>
        <w:rPr>
          <w:rFonts w:hint="eastAsia" w:ascii="仿宋_GB2312" w:hAnsi="仿宋" w:eastAsia="仿宋_GB2312"/>
          <w:sz w:val="28"/>
          <w:szCs w:val="28"/>
        </w:rPr>
        <w:t>一带一路</w:t>
      </w:r>
      <w:r>
        <w:rPr>
          <w:rFonts w:hint="eastAsia" w:ascii="仿宋_GB2312" w:hAnsi="Times New Roman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与现有国际和地区法律框架</w:t>
      </w:r>
    </w:p>
    <w:p>
      <w:pPr>
        <w:ind w:firstLine="645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2.“</w:t>
      </w:r>
      <w:r>
        <w:rPr>
          <w:rFonts w:hint="eastAsia" w:ascii="仿宋_GB2312" w:hAnsi="仿宋" w:eastAsia="仿宋_GB2312"/>
          <w:sz w:val="28"/>
          <w:szCs w:val="28"/>
        </w:rPr>
        <w:t>一带一路</w:t>
      </w:r>
      <w:r>
        <w:rPr>
          <w:rFonts w:hint="eastAsia" w:ascii="仿宋_GB2312" w:hAnsi="Times New Roman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与争端解决</w:t>
      </w:r>
    </w:p>
    <w:p>
      <w:pPr>
        <w:ind w:firstLine="645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3.“</w:t>
      </w:r>
      <w:r>
        <w:rPr>
          <w:rFonts w:hint="eastAsia" w:ascii="仿宋_GB2312" w:hAnsi="仿宋" w:eastAsia="仿宋_GB2312"/>
          <w:sz w:val="28"/>
          <w:szCs w:val="28"/>
        </w:rPr>
        <w:t>一带一路</w:t>
      </w:r>
      <w:r>
        <w:rPr>
          <w:rFonts w:hint="eastAsia" w:ascii="仿宋_GB2312" w:hAnsi="Times New Roman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安全保障法律问题</w:t>
      </w:r>
    </w:p>
    <w:p>
      <w:pPr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四、国际司法机构与国际法的解释和适用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国际司法机构：中国的参与和影响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国际法院查戈斯群岛咨询意见案</w:t>
      </w:r>
    </w:p>
    <w:p>
      <w:pPr>
        <w:ind w:left="1674" w:leftChars="397" w:hanging="840" w:hangingChars="3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Times New Roman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）国际法院的咨询管辖权与</w:t>
      </w:r>
      <w:r>
        <w:rPr>
          <w:rFonts w:hint="eastAsia" w:ascii="仿宋_GB2312" w:hAnsi="Times New Roman" w:eastAsia="仿宋_GB2312"/>
          <w:sz w:val="28"/>
          <w:szCs w:val="28"/>
        </w:rPr>
        <w:t>“</w:t>
      </w:r>
      <w:r>
        <w:rPr>
          <w:rFonts w:hint="eastAsia" w:ascii="仿宋_GB2312" w:hAnsi="仿宋" w:eastAsia="仿宋_GB2312"/>
          <w:sz w:val="28"/>
          <w:szCs w:val="28"/>
        </w:rPr>
        <w:t>当事国同意</w:t>
      </w:r>
      <w:r>
        <w:rPr>
          <w:rFonts w:hint="eastAsia" w:ascii="仿宋_GB2312" w:hAnsi="Times New Roman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原则</w:t>
      </w:r>
    </w:p>
    <w:p>
      <w:pPr>
        <w:ind w:left="1674" w:leftChars="397" w:hanging="840" w:hangingChars="3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Times New Roman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）民族自决权与非殖民化法律问题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国际刑事法院最新发展</w:t>
      </w:r>
    </w:p>
    <w:p>
      <w:pPr>
        <w:ind w:firstLine="700" w:firstLineChars="25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Times New Roman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）《国际刑事法院罗马规约》侵略罪修正案</w:t>
      </w:r>
    </w:p>
    <w:p>
      <w:pPr>
        <w:ind w:firstLine="700" w:firstLineChars="25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Times New Roman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）国际刑事法院的普遍性</w:t>
      </w:r>
    </w:p>
    <w:p>
      <w:pPr>
        <w:ind w:firstLine="700" w:firstLineChars="25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Times New Roman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）阿富汗情势调查新动向</w:t>
      </w:r>
    </w:p>
    <w:p>
      <w:pPr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前南刑庭对国际法的影响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</w:p>
    <w:p>
      <w:pPr>
        <w:pStyle w:val="7"/>
        <w:numPr>
          <w:ilvl w:val="0"/>
          <w:numId w:val="3"/>
        </w:numPr>
        <w:ind w:firstLineChars="0"/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海洋与极地国际法问题</w:t>
      </w:r>
    </w:p>
    <w:p>
      <w:pPr>
        <w:pStyle w:val="7"/>
        <w:ind w:left="720" w:firstLine="0" w:firstLineChars="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国家管辖范围以外区域海洋生物多样性（</w:t>
      </w:r>
      <w:r>
        <w:rPr>
          <w:rFonts w:hint="eastAsia" w:ascii="仿宋_GB2312" w:hAnsi="Times New Roman" w:eastAsia="仿宋_GB2312"/>
          <w:sz w:val="28"/>
          <w:szCs w:val="28"/>
        </w:rPr>
        <w:t>BBNJ</w:t>
      </w:r>
      <w:r>
        <w:rPr>
          <w:rFonts w:hint="eastAsia" w:ascii="仿宋_GB2312" w:hAnsi="仿宋" w:eastAsia="仿宋_GB2312"/>
          <w:sz w:val="28"/>
          <w:szCs w:val="28"/>
        </w:rPr>
        <w:t>）国际协定谈判相关法律问题</w:t>
      </w:r>
    </w:p>
    <w:p>
      <w:pPr>
        <w:ind w:firstLine="646" w:firstLineChars="231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国际海底资源开发规章问题</w:t>
      </w:r>
    </w:p>
    <w:p>
      <w:pPr>
        <w:ind w:firstLine="646" w:firstLineChars="231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北极法律与政策问题</w:t>
      </w:r>
    </w:p>
    <w:p>
      <w:pPr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六、国际人道法与人权法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国际人道法的执行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私营军事保安公司法律问题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被剥夺自由人员的国际人道法保护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自主武器和人工智能国际法问题</w:t>
      </w:r>
    </w:p>
    <w:p>
      <w:pPr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人权条约机构改革评估</w:t>
      </w:r>
    </w:p>
    <w:p>
      <w:pPr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七、国际法委员会重点专题跟踪与研究</w:t>
      </w:r>
    </w:p>
    <w:p>
      <w:pPr>
        <w:pStyle w:val="7"/>
        <w:ind w:left="720" w:firstLine="0" w:firstLineChars="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国家官员的外国刑事管辖豁免</w:t>
      </w:r>
    </w:p>
    <w:p>
      <w:pPr>
        <w:pStyle w:val="7"/>
        <w:ind w:left="720" w:firstLine="0" w:firstLineChars="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强行法</w:t>
      </w:r>
    </w:p>
    <w:p>
      <w:pPr>
        <w:pStyle w:val="7"/>
        <w:ind w:left="720" w:firstLine="0" w:firstLineChars="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危害人类罪</w:t>
      </w:r>
    </w:p>
    <w:p>
      <w:pPr>
        <w:pStyle w:val="7"/>
        <w:ind w:left="720" w:firstLine="0" w:firstLineChars="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条约的暂时适用</w:t>
      </w:r>
    </w:p>
    <w:p>
      <w:pPr>
        <w:pStyle w:val="7"/>
        <w:ind w:left="720" w:firstLine="0" w:firstLineChars="0"/>
        <w:jc w:val="left"/>
        <w:rPr>
          <w:rFonts w:hint="eastAsia" w:ascii="仿宋_GB2312" w:hAnsi="Times New Roman" w:eastAsia="仿宋_GB2312"/>
          <w:b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b/>
          <w:sz w:val="28"/>
          <w:szCs w:val="28"/>
        </w:rPr>
      </w:pPr>
      <w:r>
        <w:rPr>
          <w:rFonts w:hint="eastAsia" w:ascii="Times New Roman" w:hAnsi="黑体" w:eastAsia="黑体"/>
          <w:b/>
          <w:sz w:val="28"/>
          <w:szCs w:val="28"/>
        </w:rPr>
        <w:t>第二部分国际私法议题</w:t>
      </w:r>
    </w:p>
    <w:p>
      <w:pPr>
        <w:ind w:left="2520" w:hanging="2520" w:hangingChars="900"/>
        <w:jc w:val="left"/>
        <w:rPr>
          <w:rFonts w:ascii="Times New Roman" w:hAnsi="Times New Roman" w:eastAsia="仿宋"/>
          <w:sz w:val="28"/>
          <w:szCs w:val="28"/>
        </w:rPr>
      </w:pPr>
    </w:p>
    <w:p>
      <w:pPr>
        <w:ind w:left="2530" w:hanging="2530" w:hangingChars="900"/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一、海牙国际私法会议公约</w:t>
      </w:r>
    </w:p>
    <w:p>
      <w:pPr>
        <w:ind w:left="1867" w:leftChars="337" w:hanging="1159" w:hangingChars="414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1.“</w:t>
      </w:r>
      <w:r>
        <w:rPr>
          <w:rFonts w:hint="eastAsia" w:ascii="仿宋_GB2312" w:hAnsi="仿宋" w:eastAsia="仿宋_GB2312"/>
          <w:sz w:val="28"/>
          <w:szCs w:val="28"/>
        </w:rPr>
        <w:t>海牙判决公约（草案）</w:t>
      </w:r>
      <w:r>
        <w:rPr>
          <w:rFonts w:hint="eastAsia" w:ascii="仿宋_GB2312" w:hAnsi="Times New Roman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条文分析</w:t>
      </w:r>
    </w:p>
    <w:p>
      <w:pPr>
        <w:ind w:left="1867" w:leftChars="337" w:hanging="1159" w:hangingChars="414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《法院选择协议公约》的批准</w:t>
      </w:r>
    </w:p>
    <w:p>
      <w:pPr>
        <w:ind w:left="1785" w:hanging="1785" w:hangingChars="635"/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二、最高人民法院的相关司法解释</w:t>
      </w:r>
    </w:p>
    <w:p>
      <w:pPr>
        <w:ind w:left="1864" w:leftChars="337" w:hanging="1156" w:hangingChars="413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1. </w:t>
      </w:r>
      <w:r>
        <w:rPr>
          <w:rFonts w:hint="eastAsia" w:ascii="仿宋_GB2312" w:hAnsi="仿宋" w:eastAsia="仿宋_GB2312"/>
          <w:sz w:val="28"/>
          <w:szCs w:val="28"/>
        </w:rPr>
        <w:t>关于承认与执行外国法院判决的司法解释（草案）</w:t>
      </w:r>
    </w:p>
    <w:p>
      <w:pPr>
        <w:pStyle w:val="3"/>
        <w:shd w:val="clear" w:color="auto" w:fill="FFFFFF"/>
        <w:spacing w:before="0" w:beforeAutospacing="0" w:after="0" w:afterAutospacing="0" w:line="172" w:lineRule="atLeast"/>
        <w:ind w:firstLine="70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关于审理仲裁司法审查案件若干问题的规定</w:t>
      </w:r>
    </w:p>
    <w:p>
      <w:pPr>
        <w:pStyle w:val="3"/>
        <w:shd w:val="clear" w:color="auto" w:fill="FFFFFF"/>
        <w:spacing w:before="0" w:beforeAutospacing="0" w:after="0" w:afterAutospacing="0" w:line="172" w:lineRule="atLeast"/>
        <w:ind w:firstLine="709"/>
        <w:rPr>
          <w:rStyle w:val="5"/>
          <w:rFonts w:hint="eastAsia" w:ascii="仿宋_GB2312" w:eastAsia="仿宋_GB2312"/>
          <w:b w:val="0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 xml:space="preserve">3. </w:t>
      </w:r>
      <w:r>
        <w:rPr>
          <w:rStyle w:val="5"/>
          <w:rFonts w:hint="eastAsia" w:ascii="仿宋_GB2312" w:hAnsi="仿宋" w:eastAsia="仿宋_GB2312"/>
          <w:b w:val="0"/>
          <w:sz w:val="28"/>
          <w:szCs w:val="28"/>
        </w:rPr>
        <w:t>关于执行仲裁裁决的司法解释</w:t>
      </w:r>
    </w:p>
    <w:p>
      <w:pPr>
        <w:pStyle w:val="3"/>
        <w:shd w:val="clear" w:color="auto" w:fill="FFFFFF"/>
        <w:spacing w:before="0" w:beforeAutospacing="0" w:after="0" w:afterAutospacing="0" w:line="172" w:lineRule="atLeast"/>
        <w:ind w:firstLine="709"/>
        <w:rPr>
          <w:rFonts w:hint="eastAsia" w:ascii="仿宋_GB2312" w:eastAsia="仿宋_GB2312"/>
          <w:sz w:val="28"/>
          <w:szCs w:val="28"/>
        </w:rPr>
      </w:pPr>
      <w:r>
        <w:rPr>
          <w:rStyle w:val="5"/>
          <w:rFonts w:hint="eastAsia" w:ascii="仿宋_GB2312" w:eastAsia="仿宋_GB2312"/>
          <w:b w:val="0"/>
          <w:sz w:val="28"/>
          <w:szCs w:val="28"/>
        </w:rPr>
        <w:t xml:space="preserve">4. </w:t>
      </w:r>
      <w:r>
        <w:rPr>
          <w:rStyle w:val="5"/>
          <w:rFonts w:hint="eastAsia" w:ascii="仿宋_GB2312" w:hAnsi="仿宋" w:eastAsia="仿宋_GB2312"/>
          <w:b w:val="0"/>
          <w:sz w:val="28"/>
          <w:szCs w:val="28"/>
        </w:rPr>
        <w:t>关于</w:t>
      </w:r>
      <w:bookmarkStart w:id="0" w:name="OLE_LINK38"/>
      <w:bookmarkStart w:id="1" w:name="OLE_LINK37"/>
      <w:r>
        <w:rPr>
          <w:rStyle w:val="5"/>
          <w:rFonts w:hint="eastAsia" w:ascii="仿宋_GB2312" w:hAnsi="仿宋" w:eastAsia="仿宋_GB2312"/>
          <w:b w:val="0"/>
          <w:sz w:val="28"/>
          <w:szCs w:val="28"/>
        </w:rPr>
        <w:t>仲裁司法审查案件归口办理</w:t>
      </w:r>
      <w:bookmarkEnd w:id="0"/>
      <w:bookmarkEnd w:id="1"/>
      <w:r>
        <w:rPr>
          <w:rStyle w:val="5"/>
          <w:rFonts w:hint="eastAsia" w:ascii="仿宋_GB2312" w:hAnsi="仿宋" w:eastAsia="仿宋_GB2312"/>
          <w:b w:val="0"/>
          <w:sz w:val="28"/>
          <w:szCs w:val="28"/>
        </w:rPr>
        <w:t>的规定</w:t>
      </w:r>
    </w:p>
    <w:p>
      <w:pPr>
        <w:jc w:val="center"/>
        <w:rPr>
          <w:rFonts w:hint="eastAsia" w:ascii="仿宋_GB2312" w:hAnsi="Times New Roman" w:eastAsia="仿宋_GB2312"/>
          <w:b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黑体" w:eastAsia="黑体"/>
          <w:b/>
          <w:sz w:val="28"/>
          <w:szCs w:val="28"/>
        </w:rPr>
        <w:t>第三部分国际经济法议题</w:t>
      </w:r>
    </w:p>
    <w:p>
      <w:pPr>
        <w:widowControl/>
        <w:jc w:val="left"/>
        <w:rPr>
          <w:rFonts w:hint="eastAsia" w:ascii="仿宋_GB2312" w:hAnsi="Times New Roman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一、</w:t>
      </w:r>
      <w:r>
        <w:rPr>
          <w:rFonts w:hint="eastAsia" w:ascii="仿宋_GB2312" w:hAnsi="Times New Roman" w:eastAsia="仿宋_GB2312" w:cs="仿宋"/>
          <w:b/>
          <w:color w:val="000000"/>
          <w:kern w:val="0"/>
          <w:sz w:val="28"/>
          <w:szCs w:val="28"/>
        </w:rPr>
        <w:t>“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一带一路</w:t>
      </w:r>
      <w:r>
        <w:rPr>
          <w:rFonts w:hint="eastAsia" w:ascii="仿宋_GB2312" w:hAnsi="Times New Roman" w:eastAsia="仿宋_GB2312" w:cs="宋体"/>
          <w:b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倡议与国际经济法的创新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 xml:space="preserve">1. </w:t>
      </w:r>
      <w:r>
        <w:rPr>
          <w:rFonts w:hint="eastAsia" w:ascii="仿宋_GB2312" w:hAnsi="Times New Roman" w:eastAsia="仿宋_GB2312" w:cs="仿宋"/>
          <w:color w:val="000000"/>
          <w:kern w:val="0"/>
          <w:sz w:val="28"/>
          <w:szCs w:val="28"/>
        </w:rPr>
        <w:t>“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一带一路</w:t>
      </w: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与贸易畅通法律问题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 xml:space="preserve">2. </w:t>
      </w:r>
      <w:r>
        <w:rPr>
          <w:rFonts w:hint="eastAsia" w:ascii="仿宋_GB2312" w:hAnsi="Times New Roman" w:eastAsia="仿宋_GB2312" w:cs="仿宋"/>
          <w:color w:val="000000"/>
          <w:kern w:val="0"/>
          <w:sz w:val="28"/>
          <w:szCs w:val="28"/>
        </w:rPr>
        <w:t>“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一带一路</w:t>
      </w: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与国际投资法律问题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 xml:space="preserve">3. </w:t>
      </w:r>
      <w:r>
        <w:rPr>
          <w:rFonts w:hint="eastAsia" w:ascii="仿宋_GB2312" w:hAnsi="Times New Roman" w:eastAsia="仿宋_GB2312" w:cs="仿宋"/>
          <w:color w:val="000000"/>
          <w:kern w:val="0"/>
          <w:sz w:val="28"/>
          <w:szCs w:val="28"/>
        </w:rPr>
        <w:t>“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一带一路</w:t>
      </w: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与国际金融、税收法律问题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 xml:space="preserve">4. </w:t>
      </w:r>
      <w:r>
        <w:rPr>
          <w:rFonts w:hint="eastAsia" w:ascii="仿宋_GB2312" w:hAnsi="Times New Roman" w:eastAsia="仿宋_GB2312" w:cs="仿宋"/>
          <w:color w:val="000000"/>
          <w:kern w:val="0"/>
          <w:sz w:val="28"/>
          <w:szCs w:val="28"/>
        </w:rPr>
        <w:t>“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一带一路</w:t>
      </w: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与经济贸易争端解决</w:t>
      </w:r>
    </w:p>
    <w:p>
      <w:pPr>
        <w:widowControl/>
        <w:jc w:val="left"/>
        <w:rPr>
          <w:rFonts w:hint="eastAsia" w:ascii="仿宋_GB2312" w:hAnsi="Times New Roman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二、投资者与国家间争端解决机制（</w:t>
      </w:r>
      <w:r>
        <w:rPr>
          <w:rFonts w:hint="eastAsia" w:ascii="仿宋_GB2312" w:hAnsi="Times New Roman" w:eastAsia="仿宋_GB2312" w:cs="宋体"/>
          <w:b/>
          <w:color w:val="000000"/>
          <w:kern w:val="0"/>
          <w:sz w:val="28"/>
          <w:szCs w:val="28"/>
        </w:rPr>
        <w:t>ISDS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）改革问题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 xml:space="preserve">1. 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投资条约仲裁机制的改革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 xml:space="preserve">2. 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国际投资法院制度</w:t>
      </w:r>
    </w:p>
    <w:p>
      <w:pPr>
        <w:widowControl/>
        <w:ind w:left="562" w:hanging="562" w:hangingChars="200"/>
        <w:jc w:val="left"/>
        <w:rPr>
          <w:rFonts w:hint="eastAsia" w:ascii="仿宋_GB2312" w:hAnsi="Times New Roman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三、《全面和渐进的跨太平洋伙伴关系协定》（</w:t>
      </w:r>
      <w:r>
        <w:rPr>
          <w:rFonts w:hint="eastAsia" w:ascii="仿宋_GB2312" w:hAnsi="Times New Roman" w:eastAsia="仿宋_GB2312" w:cs="宋体"/>
          <w:b/>
          <w:color w:val="000000"/>
          <w:kern w:val="0"/>
          <w:sz w:val="28"/>
          <w:szCs w:val="28"/>
        </w:rPr>
        <w:t>CPTPP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）后续进程及其影响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>1. CPTPP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后续议题研究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>2. CPTPP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的影响</w:t>
      </w:r>
    </w:p>
    <w:p>
      <w:pPr>
        <w:widowControl/>
        <w:jc w:val="left"/>
        <w:rPr>
          <w:rFonts w:hint="eastAsia" w:ascii="仿宋_GB2312" w:hAnsi="Times New Roman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四、对外经济制裁与</w:t>
      </w:r>
      <w:r>
        <w:rPr>
          <w:rFonts w:hint="eastAsia" w:ascii="仿宋_GB2312" w:hAnsi="Times New Roman" w:eastAsia="仿宋_GB2312" w:cs="宋体"/>
          <w:b/>
          <w:color w:val="000000"/>
          <w:kern w:val="0"/>
          <w:sz w:val="28"/>
          <w:szCs w:val="28"/>
        </w:rPr>
        <w:t>WTO</w:t>
      </w:r>
      <w:r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  <w:t>合规性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 xml:space="preserve">1. 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经济制裁与</w:t>
      </w: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>WTO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协定</w:t>
      </w:r>
    </w:p>
    <w:p>
      <w:pPr>
        <w:widowControl/>
        <w:jc w:val="left"/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 xml:space="preserve">2. 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对外经济制裁与</w:t>
      </w:r>
      <w:r>
        <w:rPr>
          <w:rFonts w:hint="eastAsia" w:ascii="仿宋_GB2312" w:hAnsi="Times New Roman" w:eastAsia="仿宋_GB2312" w:cs="宋体"/>
          <w:color w:val="000000"/>
          <w:kern w:val="0"/>
          <w:sz w:val="28"/>
          <w:szCs w:val="28"/>
        </w:rPr>
        <w:t>WTO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争端解决机制</w:t>
      </w:r>
    </w:p>
    <w:p>
      <w:pPr>
        <w:widowControl/>
        <w:spacing w:line="252" w:lineRule="atLeast"/>
        <w:jc w:val="left"/>
        <w:rPr>
          <w:rFonts w:hint="eastAsia" w:ascii="仿宋_GB2312" w:hAnsi="Times New Roman" w:eastAsia="仿宋_GB2312" w:cs="Arial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Arial"/>
          <w:b/>
          <w:color w:val="000000"/>
          <w:kern w:val="0"/>
          <w:sz w:val="28"/>
          <w:szCs w:val="28"/>
        </w:rPr>
        <w:t>五、维护多边贸易体制与中国的作用</w:t>
      </w:r>
    </w:p>
    <w:p>
      <w:pPr>
        <w:widowControl/>
        <w:jc w:val="left"/>
        <w:rPr>
          <w:rFonts w:hint="eastAsia" w:ascii="仿宋_GB2312" w:hAnsi="Times New Roman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Arial"/>
          <w:color w:val="000000"/>
          <w:kern w:val="0"/>
          <w:sz w:val="28"/>
          <w:szCs w:val="28"/>
        </w:rPr>
        <w:t xml:space="preserve">1. </w:t>
      </w:r>
      <w:r>
        <w:rPr>
          <w:rFonts w:hint="eastAsia" w:ascii="仿宋_GB2312" w:hAnsi="仿宋" w:eastAsia="仿宋_GB2312" w:cs="Arial"/>
          <w:color w:val="000000"/>
          <w:kern w:val="0"/>
          <w:sz w:val="28"/>
          <w:szCs w:val="28"/>
        </w:rPr>
        <w:t>推动多哈回合议题谈判的中国方案</w:t>
      </w:r>
    </w:p>
    <w:p>
      <w:pPr>
        <w:widowControl/>
        <w:jc w:val="left"/>
        <w:rPr>
          <w:rFonts w:hint="eastAsia" w:ascii="仿宋_GB2312" w:hAnsi="Times New Roman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Arial"/>
          <w:color w:val="000000"/>
          <w:kern w:val="0"/>
          <w:sz w:val="28"/>
          <w:szCs w:val="28"/>
        </w:rPr>
        <w:t xml:space="preserve">2. </w:t>
      </w:r>
      <w:r>
        <w:rPr>
          <w:rFonts w:hint="eastAsia" w:ascii="仿宋_GB2312" w:hAnsi="仿宋" w:eastAsia="仿宋_GB2312" w:cs="Arial"/>
          <w:color w:val="000000"/>
          <w:kern w:val="0"/>
          <w:sz w:val="28"/>
          <w:szCs w:val="28"/>
        </w:rPr>
        <w:t>反对贸易保护主义的中国对策与措施</w:t>
      </w:r>
    </w:p>
    <w:p>
      <w:pPr>
        <w:widowControl/>
        <w:jc w:val="left"/>
        <w:rPr>
          <w:rFonts w:hint="eastAsia" w:ascii="仿宋_GB2312" w:hAnsi="Times New Roman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Arial"/>
          <w:color w:val="000000"/>
          <w:kern w:val="0"/>
          <w:sz w:val="28"/>
          <w:szCs w:val="28"/>
        </w:rPr>
        <w:t xml:space="preserve">3. </w:t>
      </w:r>
      <w:r>
        <w:rPr>
          <w:rFonts w:hint="eastAsia" w:ascii="仿宋_GB2312" w:hAnsi="仿宋" w:eastAsia="仿宋_GB2312" w:cs="Arial"/>
          <w:color w:val="000000"/>
          <w:kern w:val="0"/>
          <w:sz w:val="28"/>
          <w:szCs w:val="28"/>
        </w:rPr>
        <w:t>利用</w:t>
      </w:r>
      <w:r>
        <w:rPr>
          <w:rFonts w:hint="eastAsia" w:ascii="仿宋_GB2312" w:hAnsi="Times New Roman" w:eastAsia="仿宋_GB2312" w:cs="Arial"/>
          <w:color w:val="000000"/>
          <w:kern w:val="0"/>
          <w:sz w:val="28"/>
          <w:szCs w:val="28"/>
        </w:rPr>
        <w:t>WTO</w:t>
      </w:r>
      <w:r>
        <w:rPr>
          <w:rFonts w:hint="eastAsia" w:ascii="仿宋_GB2312" w:hAnsi="仿宋" w:eastAsia="仿宋_GB2312" w:cs="Arial"/>
          <w:color w:val="000000"/>
          <w:kern w:val="0"/>
          <w:sz w:val="28"/>
          <w:szCs w:val="28"/>
        </w:rPr>
        <w:t>争端解决机制维护中国权益</w:t>
      </w:r>
    </w:p>
    <w:p>
      <w:pPr>
        <w:rPr>
          <w:rFonts w:hint="eastAsia" w:ascii="仿宋_GB2312" w:hAnsi="Times New Roman" w:eastAsia="仿宋_GB2312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79177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DD3"/>
    <w:multiLevelType w:val="multilevel"/>
    <w:tmpl w:val="332E2DD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50BDD"/>
    <w:multiLevelType w:val="multilevel"/>
    <w:tmpl w:val="4D550BDD"/>
    <w:lvl w:ilvl="0" w:tentative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657D1B"/>
    <w:multiLevelType w:val="multilevel"/>
    <w:tmpl w:val="71657D1B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ind w:left="214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F28C2"/>
    <w:rsid w:val="7BAF2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  <w:lang w:val="en-GB"/>
    </w:rPr>
  </w:style>
  <w:style w:type="character" w:styleId="5">
    <w:name w:val="Strong"/>
    <w:basedOn w:val="4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2018-03-23T08:20:00Z</dcterms:created>
  <dc:creator>sifajingjifa</dc:creator>
  <cp:lastModifiedBy>sifajingjifa</cp:lastModifiedBy>
  <dcterms:modified xsi:type="dcterms:W3CDTF">2018-03-23T08:20:48Z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